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2B" w:rsidRDefault="00A95AC4" w:rsidP="00A95AC4">
      <w:pPr>
        <w:numPr>
          <w:ilvl w:val="0"/>
          <w:numId w:val="0"/>
        </w:numPr>
        <w:rPr>
          <w:rFonts w:cstheme="minorHAnsi"/>
          <w:sz w:val="48"/>
          <w:szCs w:val="48"/>
        </w:rPr>
      </w:pPr>
      <w:r w:rsidRPr="00A95AC4">
        <w:rPr>
          <w:rFonts w:cstheme="minorHAnsi"/>
          <w:sz w:val="48"/>
          <w:szCs w:val="48"/>
        </w:rPr>
        <w:t>Řecké vázové malířství</w:t>
      </w:r>
    </w:p>
    <w:p w:rsidR="00A95AC4" w:rsidRDefault="00A95AC4" w:rsidP="00A95AC4">
      <w:pPr>
        <w:pStyle w:val="Stylprezentace"/>
        <w:numPr>
          <w:ilvl w:val="0"/>
          <w:numId w:val="0"/>
        </w:numPr>
        <w:ind w:left="360"/>
        <w:rPr>
          <w:color w:val="auto"/>
        </w:rPr>
      </w:pPr>
    </w:p>
    <w:p w:rsidR="00A95AC4" w:rsidRDefault="00A95AC4" w:rsidP="00A95AC4">
      <w:pPr>
        <w:pStyle w:val="Stylprezentace"/>
      </w:pPr>
      <w:r>
        <w:t>Historie</w:t>
      </w:r>
    </w:p>
    <w:p w:rsidR="00A95AC4" w:rsidRDefault="005D103D" w:rsidP="00A95AC4">
      <w:r>
        <w:t>Abstraktní → figurální</w:t>
      </w:r>
    </w:p>
    <w:p w:rsidR="005D103D" w:rsidRDefault="005D103D" w:rsidP="00A95AC4">
      <w:r>
        <w:t>Snaha o iluzi prostoru</w:t>
      </w:r>
    </w:p>
    <w:p w:rsidR="005D103D" w:rsidRDefault="005D103D" w:rsidP="00A95AC4">
      <w:r>
        <w:t>Nejprve geometrické vzory</w:t>
      </w:r>
    </w:p>
    <w:p w:rsidR="005D103D" w:rsidRDefault="005D103D" w:rsidP="00A95AC4">
      <w:r>
        <w:t>8. st. Př. n. l. → první stylizované výjevy nanášené štětcem</w:t>
      </w:r>
    </w:p>
    <w:p w:rsidR="005D103D" w:rsidRDefault="005D103D" w:rsidP="00A95AC4">
      <w:r>
        <w:t xml:space="preserve">6, st. Př. n. l. → vznik </w:t>
      </w:r>
      <w:proofErr w:type="spellStart"/>
      <w:r>
        <w:t>černofigurového</w:t>
      </w:r>
      <w:proofErr w:type="spellEnd"/>
      <w:r>
        <w:t xml:space="preserve"> stylu</w:t>
      </w:r>
    </w:p>
    <w:p w:rsidR="005D103D" w:rsidRDefault="005D103D" w:rsidP="00A95AC4">
      <w:r>
        <w:t xml:space="preserve">530 př. n. l. → vznik </w:t>
      </w:r>
      <w:proofErr w:type="spellStart"/>
      <w:r>
        <w:t>čer</w:t>
      </w:r>
      <w:r w:rsidR="006A291D">
        <w:t>ve</w:t>
      </w:r>
      <w:bookmarkStart w:id="0" w:name="_GoBack"/>
      <w:bookmarkEnd w:id="0"/>
      <w:r>
        <w:t>nofigurového</w:t>
      </w:r>
      <w:proofErr w:type="spellEnd"/>
      <w:r>
        <w:t xml:space="preserve"> stylu</w:t>
      </w:r>
    </w:p>
    <w:p w:rsidR="005D103D" w:rsidRDefault="005D103D" w:rsidP="005D103D">
      <w:pPr>
        <w:pStyle w:val="Stylprezentace"/>
      </w:pPr>
      <w:r>
        <w:t>Typy nádob</w:t>
      </w:r>
    </w:p>
    <w:p w:rsidR="005D103D" w:rsidRDefault="005D103D" w:rsidP="005D103D">
      <w:r>
        <w:t>Amfora</w:t>
      </w:r>
    </w:p>
    <w:p w:rsidR="005D103D" w:rsidRDefault="00DE42E9" w:rsidP="005D103D">
      <w:pPr>
        <w:numPr>
          <w:ilvl w:val="2"/>
          <w:numId w:val="4"/>
        </w:numPr>
      </w:pPr>
      <w:r>
        <w:t>Uchovávání a přenášení vína, olivového oleje, zrní, ryb…</w:t>
      </w:r>
    </w:p>
    <w:p w:rsidR="00DE42E9" w:rsidRDefault="00DE42E9" w:rsidP="00DE42E9">
      <w:r>
        <w:t>Kráter</w:t>
      </w:r>
    </w:p>
    <w:p w:rsidR="00DE42E9" w:rsidRDefault="006A291D" w:rsidP="00DE42E9">
      <w:pPr>
        <w:numPr>
          <w:ilvl w:val="2"/>
          <w:numId w:val="4"/>
        </w:numPr>
      </w:pPr>
      <w:r w:rsidRPr="006A291D">
        <w:drawing>
          <wp:anchor distT="0" distB="0" distL="114300" distR="114300" simplePos="0" relativeHeight="251658240" behindDoc="0" locked="0" layoutInCell="1" allowOverlap="1" wp14:anchorId="0DAFD4AE">
            <wp:simplePos x="0" y="0"/>
            <wp:positionH relativeFrom="column">
              <wp:posOffset>3405505</wp:posOffset>
            </wp:positionH>
            <wp:positionV relativeFrom="paragraph">
              <wp:posOffset>45085</wp:posOffset>
            </wp:positionV>
            <wp:extent cx="3000375" cy="22860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3675" r="7575" b="8111"/>
                    <a:stretch/>
                  </pic:blipFill>
                  <pic:spPr bwMode="auto">
                    <a:xfrm>
                      <a:off x="0" y="0"/>
                      <a:ext cx="30003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2E9">
        <w:t>Objemná nádoba se širokým ústím</w:t>
      </w:r>
    </w:p>
    <w:p w:rsidR="00DE42E9" w:rsidRDefault="00DE42E9" w:rsidP="00DE42E9">
      <w:pPr>
        <w:numPr>
          <w:ilvl w:val="2"/>
          <w:numId w:val="4"/>
        </w:numPr>
      </w:pPr>
      <w:r>
        <w:t>Míšení vody a vína</w:t>
      </w:r>
    </w:p>
    <w:p w:rsidR="00DE42E9" w:rsidRDefault="00DE42E9" w:rsidP="00DE42E9">
      <w:proofErr w:type="spellStart"/>
      <w:r>
        <w:t>Kylix</w:t>
      </w:r>
      <w:proofErr w:type="spellEnd"/>
    </w:p>
    <w:p w:rsidR="00DE42E9" w:rsidRDefault="00DE42E9" w:rsidP="00DE42E9">
      <w:pPr>
        <w:numPr>
          <w:ilvl w:val="2"/>
          <w:numId w:val="4"/>
        </w:numPr>
      </w:pPr>
      <w:r>
        <w:t>Oboustranně malovaná nádoba</w:t>
      </w:r>
    </w:p>
    <w:p w:rsidR="00DE42E9" w:rsidRDefault="00DE42E9" w:rsidP="00DE42E9">
      <w:proofErr w:type="spellStart"/>
      <w:r>
        <w:t>Lékythos</w:t>
      </w:r>
      <w:proofErr w:type="spellEnd"/>
    </w:p>
    <w:p w:rsidR="00DE42E9" w:rsidRDefault="00DE42E9" w:rsidP="00DE42E9">
      <w:pPr>
        <w:numPr>
          <w:ilvl w:val="2"/>
          <w:numId w:val="4"/>
        </w:numPr>
      </w:pPr>
      <w:r>
        <w:t>Vysoká, štíhlá, jedno ucho</w:t>
      </w:r>
    </w:p>
    <w:p w:rsidR="00DE42E9" w:rsidRDefault="00DE42E9" w:rsidP="00DE42E9">
      <w:proofErr w:type="spellStart"/>
      <w:r>
        <w:t>Lútroforos</w:t>
      </w:r>
      <w:proofErr w:type="spellEnd"/>
    </w:p>
    <w:p w:rsidR="00DE42E9" w:rsidRDefault="00DE42E9" w:rsidP="00DE42E9">
      <w:pPr>
        <w:numPr>
          <w:ilvl w:val="2"/>
          <w:numId w:val="4"/>
        </w:numPr>
      </w:pPr>
      <w:r>
        <w:t>Pohřební váza</w:t>
      </w:r>
    </w:p>
    <w:p w:rsidR="00DE42E9" w:rsidRDefault="00DE42E9" w:rsidP="00DE42E9">
      <w:pPr>
        <w:numPr>
          <w:ilvl w:val="2"/>
          <w:numId w:val="4"/>
        </w:numPr>
      </w:pPr>
      <w:r>
        <w:t>Na hrobech těch, kteří zemřeli svobodní</w:t>
      </w:r>
      <w:r w:rsidR="006A291D">
        <w:t xml:space="preserve">                </w:t>
      </w:r>
    </w:p>
    <w:p w:rsidR="00DE42E9" w:rsidRDefault="00DE42E9" w:rsidP="00DE42E9">
      <w:proofErr w:type="spellStart"/>
      <w:r>
        <w:t>Oinochoé</w:t>
      </w:r>
      <w:proofErr w:type="spellEnd"/>
    </w:p>
    <w:p w:rsidR="00DE42E9" w:rsidRDefault="00DE42E9" w:rsidP="00DE42E9">
      <w:pPr>
        <w:numPr>
          <w:ilvl w:val="2"/>
          <w:numId w:val="4"/>
        </w:numPr>
      </w:pPr>
      <w:r>
        <w:t>Konvička s hubičkou</w:t>
      </w:r>
    </w:p>
    <w:p w:rsidR="00DE42E9" w:rsidRDefault="00DE42E9" w:rsidP="00DE42E9">
      <w:pPr>
        <w:numPr>
          <w:ilvl w:val="2"/>
          <w:numId w:val="4"/>
        </w:numPr>
      </w:pPr>
      <w:r>
        <w:t>K nalévání vína</w:t>
      </w:r>
    </w:p>
    <w:p w:rsidR="00DE42E9" w:rsidRDefault="00DE42E9" w:rsidP="00DE42E9">
      <w:pPr>
        <w:pStyle w:val="Stylprezentace"/>
      </w:pPr>
      <w:r>
        <w:t>Styly keramiky</w:t>
      </w:r>
    </w:p>
    <w:p w:rsidR="00DE42E9" w:rsidRDefault="00DE42E9" w:rsidP="00DE42E9">
      <w:proofErr w:type="spellStart"/>
      <w:r>
        <w:t>Protogeometrický</w:t>
      </w:r>
      <w:proofErr w:type="spellEnd"/>
      <w:r>
        <w:t xml:space="preserve"> a geometrický styl</w:t>
      </w:r>
    </w:p>
    <w:p w:rsidR="00DE42E9" w:rsidRDefault="00DE42E9" w:rsidP="00DE42E9">
      <w:pPr>
        <w:numPr>
          <w:ilvl w:val="2"/>
          <w:numId w:val="4"/>
        </w:numPr>
      </w:pPr>
      <w:r>
        <w:t>Dekorace tvoří hlavně geometrické útvary</w:t>
      </w:r>
    </w:p>
    <w:p w:rsidR="00DE42E9" w:rsidRDefault="00DE42E9" w:rsidP="00DE42E9">
      <w:pPr>
        <w:numPr>
          <w:ilvl w:val="2"/>
          <w:numId w:val="4"/>
        </w:numPr>
      </w:pPr>
      <w:r>
        <w:t>Pokrytá většina nádoby</w:t>
      </w:r>
    </w:p>
    <w:p w:rsidR="00DE42E9" w:rsidRDefault="00DE42E9" w:rsidP="00DE42E9">
      <w:r>
        <w:lastRenderedPageBreak/>
        <w:t>Orientalizující styl</w:t>
      </w:r>
    </w:p>
    <w:p w:rsidR="00DE42E9" w:rsidRDefault="00DE42E9" w:rsidP="00DE42E9">
      <w:pPr>
        <w:numPr>
          <w:ilvl w:val="2"/>
          <w:numId w:val="4"/>
        </w:numPr>
      </w:pPr>
      <w:r>
        <w:t xml:space="preserve">Pestřejší než </w:t>
      </w:r>
      <w:proofErr w:type="spellStart"/>
      <w:r>
        <w:t>protogeometrický</w:t>
      </w:r>
      <w:proofErr w:type="spellEnd"/>
      <w:r>
        <w:t xml:space="preserve"> styl</w:t>
      </w:r>
    </w:p>
    <w:p w:rsidR="00DE42E9" w:rsidRDefault="00DE42E9" w:rsidP="00DE42E9">
      <w:pPr>
        <w:numPr>
          <w:ilvl w:val="2"/>
          <w:numId w:val="4"/>
        </w:numPr>
      </w:pPr>
      <w:r>
        <w:t>Objevují se podoby obyčejných, ale i mytologických zvířat</w:t>
      </w:r>
    </w:p>
    <w:p w:rsidR="00DE42E9" w:rsidRDefault="00DE42E9" w:rsidP="00DE42E9">
      <w:proofErr w:type="spellStart"/>
      <w:r>
        <w:t>Černofigurový</w:t>
      </w:r>
      <w:proofErr w:type="spellEnd"/>
    </w:p>
    <w:p w:rsidR="00DE42E9" w:rsidRDefault="00DE42E9" w:rsidP="00DE42E9">
      <w:pPr>
        <w:numPr>
          <w:ilvl w:val="2"/>
          <w:numId w:val="4"/>
        </w:numPr>
      </w:pPr>
      <w:r>
        <w:t>Vrcholná řecká keramika</w:t>
      </w:r>
    </w:p>
    <w:p w:rsidR="00DE42E9" w:rsidRDefault="00DE42E9" w:rsidP="00DE42E9">
      <w:pPr>
        <w:numPr>
          <w:ilvl w:val="2"/>
          <w:numId w:val="4"/>
        </w:numPr>
      </w:pPr>
      <w:r>
        <w:t>Obrysy postav nejprve vyryty, poté vyplněny jemnou hlínou</w:t>
      </w:r>
    </w:p>
    <w:p w:rsidR="00DE42E9" w:rsidRDefault="00DE42E9" w:rsidP="00DE42E9">
      <w:pPr>
        <w:numPr>
          <w:ilvl w:val="2"/>
          <w:numId w:val="4"/>
        </w:numPr>
      </w:pPr>
      <w:r>
        <w:t>Na některých vázách podpisy autorů</w:t>
      </w:r>
    </w:p>
    <w:p w:rsidR="00DE42E9" w:rsidRDefault="00DE42E9" w:rsidP="00DE42E9">
      <w:proofErr w:type="spellStart"/>
      <w:r>
        <w:t>Červenofigurový</w:t>
      </w:r>
      <w:proofErr w:type="spellEnd"/>
      <w:r>
        <w:t xml:space="preserve"> styl</w:t>
      </w:r>
    </w:p>
    <w:p w:rsidR="006A291D" w:rsidRDefault="006A291D" w:rsidP="006A291D">
      <w:pPr>
        <w:numPr>
          <w:ilvl w:val="2"/>
          <w:numId w:val="4"/>
        </w:numPr>
      </w:pPr>
      <w:r>
        <w:t>Malování pomocí červené minerální barvy na černé pozadí</w:t>
      </w:r>
    </w:p>
    <w:p w:rsidR="006A291D" w:rsidRDefault="006A291D" w:rsidP="006A291D">
      <w:r>
        <w:t>Malba na bílé pozadí</w:t>
      </w:r>
    </w:p>
    <w:p w:rsidR="006A291D" w:rsidRDefault="006A291D" w:rsidP="006A291D">
      <w:pPr>
        <w:numPr>
          <w:ilvl w:val="2"/>
          <w:numId w:val="4"/>
        </w:numPr>
      </w:pPr>
      <w:r>
        <w:t>Dekorování až po vypálení</w:t>
      </w:r>
    </w:p>
    <w:p w:rsidR="006A291D" w:rsidRDefault="006A291D" w:rsidP="006A291D">
      <w:pPr>
        <w:numPr>
          <w:ilvl w:val="2"/>
          <w:numId w:val="4"/>
        </w:numPr>
      </w:pPr>
      <w:r>
        <w:t>Větší barevnost</w:t>
      </w:r>
    </w:p>
    <w:p w:rsidR="006A291D" w:rsidRDefault="006A291D" w:rsidP="006A291D">
      <w:pPr>
        <w:numPr>
          <w:ilvl w:val="2"/>
          <w:numId w:val="4"/>
        </w:numPr>
      </w:pPr>
      <w:r>
        <w:t xml:space="preserve">Možnost </w:t>
      </w:r>
      <w:proofErr w:type="spellStart"/>
      <w:r>
        <w:t>zlecení</w:t>
      </w:r>
      <w:proofErr w:type="spellEnd"/>
    </w:p>
    <w:p w:rsidR="006A291D" w:rsidRDefault="006A291D" w:rsidP="006A291D">
      <w:pPr>
        <w:pStyle w:val="Stylprezentace"/>
      </w:pPr>
      <w:r>
        <w:t>Výroba</w:t>
      </w:r>
    </w:p>
    <w:p w:rsidR="006A291D" w:rsidRDefault="006A291D" w:rsidP="006A291D">
      <w:r>
        <w:t>Oddělení jílovité hlíny od kamínků a nečistot</w:t>
      </w:r>
    </w:p>
    <w:p w:rsidR="006A291D" w:rsidRDefault="006A291D" w:rsidP="006A291D">
      <w:r>
        <w:t>Tvarování</w:t>
      </w:r>
    </w:p>
    <w:p w:rsidR="006A291D" w:rsidRDefault="006A291D" w:rsidP="006A291D">
      <w:r>
        <w:t>Pálení (3 části)</w:t>
      </w:r>
    </w:p>
    <w:sectPr w:rsidR="006A291D" w:rsidSect="000833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155"/>
    <w:multiLevelType w:val="multilevel"/>
    <w:tmpl w:val="BA06F0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B0F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CE5624"/>
    <w:multiLevelType w:val="multilevel"/>
    <w:tmpl w:val="A6E2CA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B0F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A76561"/>
    <w:multiLevelType w:val="multilevel"/>
    <w:tmpl w:val="A6E2CA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B0F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BC73280"/>
    <w:multiLevelType w:val="multilevel"/>
    <w:tmpl w:val="3AD21348"/>
    <w:lvl w:ilvl="0">
      <w:start w:val="1"/>
      <w:numFmt w:val="bullet"/>
      <w:pStyle w:val="Stylprezentace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B0F0"/>
      </w:rPr>
    </w:lvl>
    <w:lvl w:ilvl="1">
      <w:start w:val="1"/>
      <w:numFmt w:val="bullet"/>
      <w:pStyle w:val="Normln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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C4"/>
    <w:rsid w:val="0008332A"/>
    <w:rsid w:val="005D103D"/>
    <w:rsid w:val="006A291D"/>
    <w:rsid w:val="00A0332B"/>
    <w:rsid w:val="00A95AC4"/>
    <w:rsid w:val="00D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767F"/>
  <w15:chartTrackingRefBased/>
  <w15:docId w15:val="{1E864E66-CC91-478E-9989-22569E08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numPr>
        <w:ilvl w:val="1"/>
        <w:numId w:val="4"/>
      </w:numPr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AC4"/>
    <w:pPr>
      <w:numPr>
        <w:ilvl w:val="0"/>
        <w:numId w:val="0"/>
      </w:numPr>
      <w:ind w:left="720"/>
      <w:contextualSpacing/>
    </w:pPr>
  </w:style>
  <w:style w:type="paragraph" w:customStyle="1" w:styleId="Stylprezentace">
    <w:name w:val="Styl prezentace"/>
    <w:basedOn w:val="Odstavecseseznamem"/>
    <w:qFormat/>
    <w:rsid w:val="00A95AC4"/>
    <w:pPr>
      <w:numPr>
        <w:numId w:val="4"/>
      </w:numPr>
    </w:pPr>
    <w:rPr>
      <w:rFonts w:cstheme="minorHAnsi"/>
      <w:color w:val="00B0F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E247-5D41-4313-B212-B1B972B9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Žalud</dc:creator>
  <cp:keywords/>
  <dc:description/>
  <cp:lastModifiedBy>Vojtěch Žalud</cp:lastModifiedBy>
  <cp:revision>1</cp:revision>
  <dcterms:created xsi:type="dcterms:W3CDTF">2019-02-24T09:22:00Z</dcterms:created>
  <dcterms:modified xsi:type="dcterms:W3CDTF">2019-02-24T10:01:00Z</dcterms:modified>
</cp:coreProperties>
</file>